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174" w:rsidRDefault="00073DEE">
      <w:pPr>
        <w:spacing w:after="156" w:line="259" w:lineRule="auto"/>
        <w:ind w:left="61" w:firstLine="0"/>
        <w:jc w:val="center"/>
      </w:pPr>
      <w:r>
        <w:rPr>
          <w:b/>
          <w:sz w:val="22"/>
        </w:rPr>
        <w:t xml:space="preserve"> </w:t>
      </w:r>
    </w:p>
    <w:p w:rsidR="00CB3174" w:rsidRDefault="00073DEE">
      <w:pPr>
        <w:spacing w:after="156" w:line="259" w:lineRule="auto"/>
        <w:ind w:left="61" w:firstLine="0"/>
        <w:jc w:val="center"/>
      </w:pPr>
      <w:r>
        <w:rPr>
          <w:b/>
          <w:sz w:val="22"/>
        </w:rPr>
        <w:t xml:space="preserve"> </w:t>
      </w:r>
    </w:p>
    <w:p w:rsidR="00CB3174" w:rsidRDefault="00073DEE">
      <w:pPr>
        <w:spacing w:after="156" w:line="259" w:lineRule="auto"/>
        <w:ind w:left="61" w:firstLine="0"/>
        <w:jc w:val="center"/>
      </w:pPr>
      <w:r>
        <w:rPr>
          <w:b/>
          <w:sz w:val="22"/>
        </w:rPr>
        <w:t xml:space="preserve"> </w:t>
      </w:r>
    </w:p>
    <w:p w:rsidR="00CB3174" w:rsidRDefault="00073DEE">
      <w:pPr>
        <w:spacing w:after="156" w:line="259" w:lineRule="auto"/>
        <w:ind w:left="61" w:firstLine="0"/>
        <w:jc w:val="center"/>
      </w:pPr>
      <w:r>
        <w:rPr>
          <w:b/>
          <w:sz w:val="22"/>
        </w:rPr>
        <w:t xml:space="preserve"> </w:t>
      </w:r>
    </w:p>
    <w:p w:rsidR="00CB3174" w:rsidRDefault="00073DEE">
      <w:pPr>
        <w:spacing w:after="156" w:line="259" w:lineRule="auto"/>
        <w:ind w:left="61" w:firstLine="0"/>
        <w:jc w:val="center"/>
      </w:pPr>
      <w:r>
        <w:rPr>
          <w:b/>
          <w:sz w:val="22"/>
        </w:rPr>
        <w:t xml:space="preserve"> </w:t>
      </w:r>
    </w:p>
    <w:p w:rsidR="00CB3174" w:rsidRDefault="00073DEE">
      <w:pPr>
        <w:spacing w:after="156" w:line="259" w:lineRule="auto"/>
        <w:ind w:left="61" w:firstLine="0"/>
        <w:jc w:val="center"/>
      </w:pPr>
      <w:r>
        <w:rPr>
          <w:b/>
          <w:sz w:val="22"/>
        </w:rPr>
        <w:t xml:space="preserve"> </w:t>
      </w:r>
    </w:p>
    <w:p w:rsidR="00CB3174" w:rsidRDefault="00073DEE">
      <w:pPr>
        <w:spacing w:after="157" w:line="259" w:lineRule="auto"/>
        <w:ind w:left="61" w:firstLine="0"/>
        <w:jc w:val="center"/>
      </w:pPr>
      <w:r>
        <w:rPr>
          <w:b/>
          <w:sz w:val="22"/>
        </w:rPr>
        <w:t xml:space="preserve"> </w:t>
      </w:r>
    </w:p>
    <w:p w:rsidR="00CB3174" w:rsidRDefault="00073DEE">
      <w:pPr>
        <w:spacing w:after="159" w:line="259" w:lineRule="auto"/>
        <w:ind w:left="61" w:firstLine="0"/>
        <w:jc w:val="center"/>
      </w:pPr>
      <w:r>
        <w:rPr>
          <w:b/>
          <w:sz w:val="22"/>
        </w:rPr>
        <w:t xml:space="preserve"> </w:t>
      </w:r>
    </w:p>
    <w:p w:rsidR="00CB3174" w:rsidRDefault="00073DEE">
      <w:pPr>
        <w:spacing w:after="216" w:line="259" w:lineRule="auto"/>
        <w:ind w:left="61" w:firstLine="0"/>
        <w:jc w:val="center"/>
      </w:pPr>
      <w:r>
        <w:rPr>
          <w:b/>
          <w:sz w:val="22"/>
        </w:rPr>
        <w:t xml:space="preserve"> </w:t>
      </w:r>
    </w:p>
    <w:p w:rsidR="00CB3174" w:rsidRDefault="00073DEE">
      <w:pPr>
        <w:spacing w:after="154" w:line="259" w:lineRule="auto"/>
        <w:ind w:left="2187" w:firstLine="0"/>
        <w:jc w:val="left"/>
      </w:pPr>
      <w:r>
        <w:rPr>
          <w:b/>
          <w:sz w:val="28"/>
        </w:rPr>
        <w:t xml:space="preserve">Certificado de Observaciones de Casos Reales </w:t>
      </w:r>
    </w:p>
    <w:p w:rsidR="00CB3174" w:rsidRDefault="00073DEE">
      <w:pPr>
        <w:spacing w:after="157" w:line="259" w:lineRule="auto"/>
        <w:ind w:left="0" w:right="1445" w:firstLine="0"/>
        <w:jc w:val="right"/>
      </w:pPr>
      <w:r>
        <w:rPr>
          <w:b/>
          <w:sz w:val="28"/>
        </w:rPr>
        <w:t xml:space="preserve">Centro de Mediación Universidad San Francisco de Quito </w:t>
      </w:r>
    </w:p>
    <w:p w:rsidR="00CB3174" w:rsidRDefault="00073DEE">
      <w:pPr>
        <w:spacing w:after="157" w:line="259" w:lineRule="auto"/>
        <w:ind w:left="79" w:firstLine="0"/>
        <w:jc w:val="center"/>
      </w:pPr>
      <w:r>
        <w:rPr>
          <w:b/>
          <w:sz w:val="28"/>
        </w:rPr>
        <w:t xml:space="preserve"> </w:t>
      </w:r>
    </w:p>
    <w:p w:rsidR="00CB3174" w:rsidRDefault="00CB3174">
      <w:pPr>
        <w:spacing w:after="15" w:line="259" w:lineRule="auto"/>
        <w:ind w:left="720" w:firstLine="0"/>
        <w:jc w:val="left"/>
        <w:rPr>
          <w:b/>
          <w:sz w:val="28"/>
        </w:rPr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FA0F1D" w:rsidRDefault="00FA0F1D">
      <w:pPr>
        <w:spacing w:after="15" w:line="259" w:lineRule="auto"/>
        <w:ind w:left="720" w:firstLine="0"/>
        <w:jc w:val="left"/>
      </w:pPr>
    </w:p>
    <w:p w:rsidR="00CB3174" w:rsidRDefault="00073DEE">
      <w:pPr>
        <w:spacing w:after="177" w:line="259" w:lineRule="auto"/>
        <w:ind w:left="355"/>
        <w:jc w:val="left"/>
      </w:pPr>
      <w:r>
        <w:rPr>
          <w:b/>
        </w:rPr>
        <w:t>1)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¿Qué son las observaciones? </w:t>
      </w:r>
    </w:p>
    <w:p w:rsidR="00CB3174" w:rsidRDefault="00073DEE">
      <w:pPr>
        <w:ind w:left="-5"/>
      </w:pPr>
      <w:r>
        <w:t xml:space="preserve">De acuerdo con el </w:t>
      </w:r>
      <w:r>
        <w:rPr>
          <w:sz w:val="20"/>
        </w:rPr>
        <w:t>Instructivo de Registro de Centros de Mediación</w:t>
      </w:r>
      <w:r>
        <w:rPr>
          <w:sz w:val="20"/>
          <w:vertAlign w:val="superscript"/>
        </w:rPr>
        <w:footnoteReference w:id="1"/>
      </w:r>
      <w:r>
        <w:t>, las observaciones de cinco casos reales son un requisito</w:t>
      </w:r>
      <w:r>
        <w:rPr>
          <w:vertAlign w:val="superscript"/>
        </w:rPr>
        <w:footnoteReference w:id="2"/>
      </w:r>
      <w:r>
        <w:t xml:space="preserve"> para la habilitación del postulante que ha aprobado exitosamente un curso de formación de mediadores. La lógica detrás de esta estipulación es la as</w:t>
      </w:r>
      <w:r>
        <w:t xml:space="preserve">egurar que el futuro mediador haya tenido un acercamiento a las situaciones con las que tendrá que lidiar cuando se desempeñe en la profesión. </w:t>
      </w:r>
    </w:p>
    <w:p w:rsidR="00CB3174" w:rsidRDefault="00073DEE">
      <w:pPr>
        <w:ind w:left="-5"/>
      </w:pPr>
      <w:r>
        <w:t xml:space="preserve">Sin este certificado, será imposible su registro en cualquier centro de mediación. </w:t>
      </w:r>
    </w:p>
    <w:p w:rsidR="00CB3174" w:rsidRDefault="00073DEE">
      <w:pPr>
        <w:ind w:left="730"/>
      </w:pPr>
      <w:r>
        <w:rPr>
          <w:b/>
        </w:rPr>
        <w:t xml:space="preserve">Artículo 29.- Contenido del </w:t>
      </w:r>
      <w:r>
        <w:rPr>
          <w:b/>
        </w:rPr>
        <w:t>certificado de habilitación. -</w:t>
      </w:r>
      <w:r>
        <w:t xml:space="preserve"> El certificado de habilitación del centro de mediación deberá contener el nombramiento correspondiente, con los datos personales del mediador que constan en la solicitud de habilitación, conforme el anexo 6; y, demás document</w:t>
      </w:r>
      <w:r>
        <w:t xml:space="preserve">os habilitantes. </w:t>
      </w:r>
    </w:p>
    <w:p w:rsidR="00CB3174" w:rsidRDefault="00073DEE">
      <w:pPr>
        <w:ind w:left="730"/>
      </w:pPr>
      <w:r>
        <w:t>La habilitación se fundamentará en la formación y capacitación teórico-práctica que impartan los centros de formación de mediadores, debidamente registrados como tales en el Consejo de la Judicatura, de acuerdo con los criterios mínimos e</w:t>
      </w:r>
      <w:r>
        <w:t xml:space="preserve">stablecidos en el artículo 23 de este instructivo, y haber participado como observadores de al menos cinco casos reales de mediación. </w:t>
      </w:r>
      <w:r>
        <w:t>[…]</w:t>
      </w:r>
      <w:r>
        <w:t xml:space="preserve"> </w:t>
      </w:r>
    </w:p>
    <w:p w:rsidR="00CB3174" w:rsidRDefault="00073DEE">
      <w:pPr>
        <w:ind w:left="730"/>
      </w:pPr>
      <w:r>
        <w:rPr>
          <w:b/>
        </w:rPr>
        <w:t>Artículo 30.- Certificado de observación de casos reales. -</w:t>
      </w:r>
      <w:r>
        <w:t xml:space="preserve"> Los centros de mediación registrados en el Consejo de la </w:t>
      </w:r>
      <w:r>
        <w:t>Judicatura, que faciliten la observación de casos reales de los postulantes a mediadores deberán considerar mecanismos de evaluación para determinar la efectividad de las observaciones realizadas. Los certificados de observación de casos reales deberán emi</w:t>
      </w:r>
      <w:r>
        <w:t xml:space="preserve">tirse con base en el formato establecido en el anexo 9. </w:t>
      </w:r>
    </w:p>
    <w:p w:rsidR="00CB3174" w:rsidRDefault="00073DEE">
      <w:pPr>
        <w:spacing w:after="178" w:line="259" w:lineRule="auto"/>
        <w:ind w:left="720" w:firstLine="0"/>
        <w:jc w:val="left"/>
      </w:pPr>
      <w:r>
        <w:t xml:space="preserve"> </w:t>
      </w:r>
    </w:p>
    <w:p w:rsidR="00CB3174" w:rsidRDefault="00073DEE">
      <w:pPr>
        <w:numPr>
          <w:ilvl w:val="0"/>
          <w:numId w:val="1"/>
        </w:numPr>
        <w:spacing w:after="39" w:line="259" w:lineRule="auto"/>
        <w:ind w:hanging="360"/>
        <w:jc w:val="left"/>
      </w:pPr>
      <w:r>
        <w:rPr>
          <w:b/>
        </w:rPr>
        <w:t>¿Cuáles son los documentos habilitantes para inscribirse como mediador?</w:t>
      </w:r>
      <w:r>
        <w:rPr>
          <w:b/>
          <w:vertAlign w:val="superscript"/>
        </w:rPr>
        <w:footnoteReference w:id="3"/>
      </w:r>
      <w:r>
        <w:rPr>
          <w:b/>
        </w:rPr>
        <w:t xml:space="preserve"> </w:t>
      </w:r>
    </w:p>
    <w:p w:rsidR="00CB3174" w:rsidRDefault="00073DEE">
      <w:pPr>
        <w:numPr>
          <w:ilvl w:val="2"/>
          <w:numId w:val="2"/>
        </w:numPr>
        <w:spacing w:after="7"/>
        <w:ind w:hanging="360"/>
      </w:pPr>
      <w:r>
        <w:t xml:space="preserve">Hoja de vida </w:t>
      </w:r>
    </w:p>
    <w:p w:rsidR="00CB3174" w:rsidRDefault="00073DEE">
      <w:pPr>
        <w:numPr>
          <w:ilvl w:val="2"/>
          <w:numId w:val="2"/>
        </w:numPr>
        <w:spacing w:after="0"/>
        <w:ind w:hanging="360"/>
      </w:pPr>
      <w:r>
        <w:t xml:space="preserve">Certificado de haber aprobado un curso de formación como mediador </w:t>
      </w:r>
    </w:p>
    <w:p w:rsidR="00FA0F1D" w:rsidRDefault="00073DEE">
      <w:pPr>
        <w:numPr>
          <w:ilvl w:val="2"/>
          <w:numId w:val="2"/>
        </w:numPr>
        <w:spacing w:after="0"/>
        <w:ind w:hanging="360"/>
      </w:pPr>
      <w:r>
        <w:t xml:space="preserve">Carta del </w:t>
      </w:r>
      <w:proofErr w:type="gramStart"/>
      <w:r>
        <w:t>Director</w:t>
      </w:r>
      <w:proofErr w:type="gramEnd"/>
      <w:r>
        <w:t xml:space="preserve"> del Centro y solicitud </w:t>
      </w:r>
      <w:r>
        <w:t xml:space="preserve">de habilitación del postulante a mediador </w:t>
      </w:r>
    </w:p>
    <w:p w:rsidR="00CB3174" w:rsidRPr="00FA0F1D" w:rsidRDefault="00073DEE" w:rsidP="00FA0F1D">
      <w:pPr>
        <w:numPr>
          <w:ilvl w:val="2"/>
          <w:numId w:val="2"/>
        </w:numPr>
        <w:spacing w:after="0"/>
        <w:ind w:hanging="360"/>
      </w:pPr>
      <w:r w:rsidRPr="00FA0F1D">
        <w:t>Certificado de observaciones de casos reales en mediación</w:t>
      </w:r>
      <w:r w:rsidRPr="00FA0F1D">
        <w:t xml:space="preserve"> </w:t>
      </w:r>
    </w:p>
    <w:p w:rsidR="00CB3174" w:rsidRDefault="00073DEE">
      <w:pPr>
        <w:spacing w:after="12" w:line="259" w:lineRule="auto"/>
        <w:ind w:left="1440" w:firstLine="0"/>
        <w:jc w:val="left"/>
      </w:pPr>
      <w:r>
        <w:t xml:space="preserve"> </w:t>
      </w:r>
    </w:p>
    <w:p w:rsidR="00CB3174" w:rsidRDefault="00073DEE">
      <w:pPr>
        <w:spacing w:after="15" w:line="259" w:lineRule="auto"/>
        <w:ind w:left="1440" w:firstLine="0"/>
        <w:jc w:val="left"/>
      </w:pPr>
      <w:r>
        <w:t xml:space="preserve"> </w:t>
      </w:r>
    </w:p>
    <w:p w:rsidR="00CB3174" w:rsidRDefault="00073DEE">
      <w:pPr>
        <w:numPr>
          <w:ilvl w:val="0"/>
          <w:numId w:val="1"/>
        </w:numPr>
        <w:spacing w:after="177" w:line="259" w:lineRule="auto"/>
        <w:ind w:hanging="360"/>
        <w:jc w:val="left"/>
      </w:pPr>
      <w:r>
        <w:rPr>
          <w:b/>
        </w:rPr>
        <w:t xml:space="preserve">Modalidad de observaciones en el Centro de Mediación de la </w:t>
      </w:r>
      <w:proofErr w:type="spellStart"/>
      <w:r>
        <w:rPr>
          <w:b/>
        </w:rPr>
        <w:t>Usfq</w:t>
      </w:r>
      <w:proofErr w:type="spellEnd"/>
      <w:r>
        <w:rPr>
          <w:b/>
        </w:rPr>
        <w:t xml:space="preserve"> </w:t>
      </w:r>
    </w:p>
    <w:p w:rsidR="00CB3174" w:rsidRDefault="00073DEE" w:rsidP="00FA0F1D">
      <w:pPr>
        <w:ind w:left="-5"/>
      </w:pPr>
      <w:r>
        <w:t>Las observaciones pueden realizarse presencial o virtualmente</w:t>
      </w:r>
      <w:r>
        <w:rPr>
          <w:vertAlign w:val="superscript"/>
        </w:rPr>
        <w:footnoteReference w:id="4"/>
      </w:r>
      <w:r>
        <w:t xml:space="preserve">, ambas modalidades tienen la misma validez y han sido aprobadas por el Consejo de la Judicatura. </w:t>
      </w:r>
    </w:p>
    <w:p w:rsidR="00FA0F1D" w:rsidRDefault="00FA0F1D" w:rsidP="00FA0F1D">
      <w:pPr>
        <w:ind w:left="-5"/>
      </w:pPr>
    </w:p>
    <w:p w:rsidR="00CB3174" w:rsidRDefault="00073DEE">
      <w:pPr>
        <w:ind w:left="-5"/>
      </w:pPr>
      <w:r>
        <w:lastRenderedPageBreak/>
        <w:t xml:space="preserve">Por un lado, en los casos donde las observaciones se hagan presencialmente, el observador deberá guardar silencio y mantener respeto a lo largo de la </w:t>
      </w:r>
      <w:r>
        <w:t xml:space="preserve">reunión. Por otro lado, en las reuniones virtuales, el observador tendrá que mantener su cámara y micrófono apagados en todo momento. </w:t>
      </w:r>
      <w:r>
        <w:t>Además, deberá cambiar su nombre a “Observador” + Apellido.</w:t>
      </w:r>
      <w:r>
        <w:t xml:space="preserve"> </w:t>
      </w:r>
    </w:p>
    <w:p w:rsidR="00CB3174" w:rsidRDefault="00073DEE">
      <w:pPr>
        <w:spacing w:after="173" w:line="259" w:lineRule="auto"/>
        <w:ind w:left="0" w:firstLine="0"/>
        <w:jc w:val="left"/>
      </w:pPr>
      <w:r>
        <w:t xml:space="preserve"> </w:t>
      </w:r>
    </w:p>
    <w:p w:rsidR="00CB3174" w:rsidRDefault="00073DEE" w:rsidP="00FA0F1D">
      <w:pPr>
        <w:ind w:left="0" w:firstLine="0"/>
      </w:pPr>
      <w:r>
        <w:t xml:space="preserve">Si se trata de una mediación telemática, se le hará llegar </w:t>
      </w:r>
      <w:r>
        <w:t>una invitación de ZOOM bajo la estricta condición de no compartirla o reenviarla en virtud del principio rector de confidencialidad</w:t>
      </w:r>
      <w:r>
        <w:rPr>
          <w:vertAlign w:val="superscript"/>
        </w:rPr>
        <w:footnoteReference w:id="5"/>
      </w:r>
      <w:r>
        <w:t xml:space="preserve">. En caso de infringir esta regla, el Centro de Medición de la </w:t>
      </w:r>
      <w:proofErr w:type="spellStart"/>
      <w:r>
        <w:t>Usfq</w:t>
      </w:r>
      <w:proofErr w:type="spellEnd"/>
      <w:r>
        <w:t xml:space="preserve"> se reservará el derecho de no aceptar más observaciones </w:t>
      </w:r>
      <w:r>
        <w:t xml:space="preserve">para el candidato. </w:t>
      </w:r>
    </w:p>
    <w:p w:rsidR="00CB3174" w:rsidRDefault="00073DEE">
      <w:pPr>
        <w:spacing w:after="174" w:line="259" w:lineRule="auto"/>
        <w:ind w:left="0" w:firstLine="0"/>
        <w:jc w:val="left"/>
      </w:pPr>
      <w:r>
        <w:t xml:space="preserve"> </w:t>
      </w:r>
    </w:p>
    <w:p w:rsidR="00CB3174" w:rsidRDefault="00073DEE">
      <w:pPr>
        <w:numPr>
          <w:ilvl w:val="0"/>
          <w:numId w:val="1"/>
        </w:numPr>
        <w:spacing w:after="177" w:line="259" w:lineRule="auto"/>
        <w:ind w:hanging="360"/>
        <w:jc w:val="left"/>
      </w:pPr>
      <w:r>
        <w:rPr>
          <w:b/>
        </w:rPr>
        <w:t xml:space="preserve">Certificación ante el Consejo de la Judicatura </w:t>
      </w:r>
    </w:p>
    <w:p w:rsidR="00CB3174" w:rsidRDefault="00073DEE">
      <w:pPr>
        <w:ind w:left="-5"/>
      </w:pPr>
      <w:r>
        <w:t xml:space="preserve">Se le entregará su respectivo certificado de observaciones al postulante que culmine con los 5 casos, el cual deberá remitirse al Consejo de la Judicatura para formalizar su registro </w:t>
      </w:r>
      <w:r>
        <w:t xml:space="preserve">junto a los demás documentos detallados en el numeral 2. </w:t>
      </w:r>
    </w:p>
    <w:p w:rsidR="00CB3174" w:rsidRDefault="00073DEE">
      <w:pPr>
        <w:ind w:left="-5"/>
      </w:pPr>
      <w:r>
        <w:t xml:space="preserve">Un mediador requiere estar registrado en un Centro de Mediación para ser reconocido frente al Consejo de la Judicatura, para esto hay 2 opciones: </w:t>
      </w:r>
    </w:p>
    <w:p w:rsidR="00CB3174" w:rsidRDefault="00073DEE">
      <w:pPr>
        <w:numPr>
          <w:ilvl w:val="1"/>
          <w:numId w:val="1"/>
        </w:numPr>
        <w:spacing w:after="24"/>
        <w:ind w:hanging="360"/>
      </w:pPr>
      <w:r>
        <w:t xml:space="preserve">Solicitar la autorización de registro al </w:t>
      </w:r>
      <w:proofErr w:type="gramStart"/>
      <w:r>
        <w:t>Director</w:t>
      </w:r>
      <w:proofErr w:type="gramEnd"/>
      <w:r>
        <w:t xml:space="preserve"> d</w:t>
      </w:r>
      <w:r>
        <w:t>e un Centro constituido</w:t>
      </w:r>
      <w:r>
        <w:rPr>
          <w:vertAlign w:val="superscript"/>
        </w:rPr>
        <w:footnoteReference w:id="6"/>
      </w:r>
      <w:r>
        <w:t xml:space="preserve">, o </w:t>
      </w:r>
    </w:p>
    <w:p w:rsidR="00CB3174" w:rsidRDefault="00073DEE">
      <w:pPr>
        <w:numPr>
          <w:ilvl w:val="1"/>
          <w:numId w:val="1"/>
        </w:numPr>
        <w:spacing w:after="12"/>
        <w:ind w:hanging="360"/>
      </w:pPr>
      <w:r>
        <w:t xml:space="preserve">Constituir un Centro propio. </w:t>
      </w:r>
    </w:p>
    <w:p w:rsidR="00CB3174" w:rsidRDefault="00073DEE">
      <w:pPr>
        <w:spacing w:after="12" w:line="259" w:lineRule="auto"/>
        <w:ind w:left="1080" w:firstLine="0"/>
        <w:jc w:val="left"/>
      </w:pPr>
      <w:r>
        <w:t xml:space="preserve"> </w:t>
      </w:r>
    </w:p>
    <w:p w:rsidR="00CB3174" w:rsidRDefault="00073DEE">
      <w:pPr>
        <w:spacing w:after="15" w:line="259" w:lineRule="auto"/>
        <w:ind w:left="1080" w:firstLine="0"/>
        <w:jc w:val="left"/>
      </w:pPr>
      <w:r>
        <w:t xml:space="preserve"> </w:t>
      </w:r>
    </w:p>
    <w:p w:rsidR="00CB3174" w:rsidRDefault="00073DEE">
      <w:pPr>
        <w:numPr>
          <w:ilvl w:val="0"/>
          <w:numId w:val="1"/>
        </w:numPr>
        <w:spacing w:after="177" w:line="259" w:lineRule="auto"/>
        <w:ind w:hanging="360"/>
        <w:jc w:val="left"/>
      </w:pPr>
      <w:r>
        <w:rPr>
          <w:b/>
        </w:rPr>
        <w:t xml:space="preserve">Casos que se ofrecen </w:t>
      </w:r>
    </w:p>
    <w:p w:rsidR="00CB3174" w:rsidRDefault="00073DEE">
      <w:pPr>
        <w:ind w:left="-5"/>
      </w:pPr>
      <w:r>
        <w:t>La gran mayoría de casos puestos a observación son aquellos derivados del consultorio jurídico gratuito de la Universidad, los cuales son conflictos en materia de familia.</w:t>
      </w:r>
      <w:r>
        <w:t xml:space="preserve"> </w:t>
      </w:r>
    </w:p>
    <w:p w:rsidR="00CB3174" w:rsidRDefault="00073DEE">
      <w:pPr>
        <w:ind w:left="-5"/>
      </w:pPr>
      <w:r>
        <w:t xml:space="preserve">Se solicita a los participantes que </w:t>
      </w:r>
      <w:r>
        <w:rPr>
          <w:b/>
        </w:rPr>
        <w:t>tengan la debida paciencia</w:t>
      </w:r>
      <w:r>
        <w:t xml:space="preserve"> en la asignación e invitaciones de observaciones. Solemos manejar grupos grandes de observadores, así que queda a discreción de las partes autorizar la observación de su caso. </w:t>
      </w:r>
    </w:p>
    <w:p w:rsidR="00CB3174" w:rsidRDefault="00073DEE">
      <w:pPr>
        <w:spacing w:after="173" w:line="259" w:lineRule="auto"/>
        <w:ind w:left="0" w:firstLine="0"/>
        <w:jc w:val="left"/>
      </w:pPr>
      <w:r>
        <w:t xml:space="preserve"> </w:t>
      </w:r>
    </w:p>
    <w:p w:rsidR="00CB3174" w:rsidRDefault="00073DEE">
      <w:pPr>
        <w:numPr>
          <w:ilvl w:val="0"/>
          <w:numId w:val="1"/>
        </w:numPr>
        <w:spacing w:after="177" w:line="259" w:lineRule="auto"/>
        <w:ind w:hanging="360"/>
        <w:jc w:val="left"/>
      </w:pPr>
      <w:r>
        <w:rPr>
          <w:b/>
        </w:rPr>
        <w:t>¿Cómo inicia</w:t>
      </w:r>
      <w:r>
        <w:rPr>
          <w:b/>
        </w:rPr>
        <w:t xml:space="preserve">r observaciones en el Centro de Mediación de la </w:t>
      </w:r>
      <w:proofErr w:type="spellStart"/>
      <w:r>
        <w:rPr>
          <w:b/>
        </w:rPr>
        <w:t>Usfq</w:t>
      </w:r>
      <w:proofErr w:type="spellEnd"/>
      <w:r>
        <w:rPr>
          <w:b/>
        </w:rPr>
        <w:t xml:space="preserve">? </w:t>
      </w:r>
    </w:p>
    <w:p w:rsidR="00CB3174" w:rsidRDefault="00073DEE">
      <w:pPr>
        <w:ind w:left="-5"/>
      </w:pPr>
      <w:r>
        <w:t>El precio para hacer observaciones es de $1</w:t>
      </w:r>
      <w:r w:rsidR="00FA0F1D">
        <w:t>43</w:t>
      </w:r>
      <w:r>
        <w:t>.</w:t>
      </w:r>
      <w:r w:rsidR="00FA0F1D">
        <w:t>75</w:t>
      </w:r>
      <w:r>
        <w:t xml:space="preserve"> incluido IVA, y para empezar se necesita enviar un correo a </w:t>
      </w:r>
      <w:hyperlink r:id="rId7" w:history="1">
        <w:r w:rsidR="00FA0F1D" w:rsidRPr="005174F3">
          <w:rPr>
            <w:rStyle w:val="Hipervnculo"/>
          </w:rPr>
          <w:t>arbitrajeymediacion@usfq.edu.ec</w:t>
        </w:r>
      </w:hyperlink>
      <w:r w:rsidR="00FA0F1D">
        <w:rPr>
          <w:color w:val="0000FF"/>
          <w:u w:val="single" w:color="0000FF"/>
        </w:rPr>
        <w:t xml:space="preserve"> </w:t>
      </w:r>
      <w:r>
        <w:t xml:space="preserve">con los siguientes elementos: </w:t>
      </w:r>
    </w:p>
    <w:p w:rsidR="00CB3174" w:rsidRDefault="00073DEE">
      <w:pPr>
        <w:numPr>
          <w:ilvl w:val="0"/>
          <w:numId w:val="3"/>
        </w:numPr>
        <w:spacing w:after="16"/>
        <w:ind w:hanging="360"/>
      </w:pPr>
      <w:r>
        <w:t xml:space="preserve">Petición simple disponible en nuestra página. </w:t>
      </w:r>
    </w:p>
    <w:p w:rsidR="00CB3174" w:rsidRDefault="00073DEE">
      <w:pPr>
        <w:numPr>
          <w:ilvl w:val="0"/>
          <w:numId w:val="3"/>
        </w:numPr>
        <w:ind w:hanging="360"/>
      </w:pPr>
      <w:r>
        <w:t>Certificado escaneado del curso de formación como mediador</w:t>
      </w:r>
      <w:r>
        <w:rPr>
          <w:vertAlign w:val="superscript"/>
        </w:rPr>
        <w:footnoteReference w:id="7"/>
      </w:r>
      <w:r>
        <w:t xml:space="preserve">. </w:t>
      </w:r>
    </w:p>
    <w:p w:rsidR="00CB3174" w:rsidRDefault="00073DEE">
      <w:pPr>
        <w:spacing w:after="363"/>
        <w:ind w:left="-5"/>
      </w:pPr>
      <w:r>
        <w:t xml:space="preserve">Al confirmar la recepción de la petición completa, será agregado a un grupo de </w:t>
      </w:r>
      <w:proofErr w:type="spellStart"/>
      <w:r>
        <w:t>whatsapp</w:t>
      </w:r>
      <w:proofErr w:type="spellEnd"/>
      <w:r>
        <w:t xml:space="preserve"> donde se compartirá la información sobre los casos.  </w:t>
      </w:r>
    </w:p>
    <w:p w:rsidR="00CB3174" w:rsidRDefault="00073DEE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B3174" w:rsidRDefault="00073DEE">
      <w:pPr>
        <w:spacing w:after="176" w:line="259" w:lineRule="auto"/>
        <w:ind w:left="0" w:firstLine="0"/>
        <w:jc w:val="left"/>
      </w:pPr>
      <w:r>
        <w:lastRenderedPageBreak/>
        <w:t xml:space="preserve"> </w:t>
      </w:r>
    </w:p>
    <w:p w:rsidR="00CB3174" w:rsidRDefault="00073DEE">
      <w:pPr>
        <w:numPr>
          <w:ilvl w:val="0"/>
          <w:numId w:val="4"/>
        </w:numPr>
        <w:spacing w:after="177" w:line="259" w:lineRule="auto"/>
        <w:ind w:hanging="360"/>
        <w:jc w:val="left"/>
      </w:pPr>
      <w:r>
        <w:rPr>
          <w:b/>
        </w:rPr>
        <w:t xml:space="preserve">Datos de transferencia o depósito </w:t>
      </w:r>
    </w:p>
    <w:p w:rsidR="00CB3174" w:rsidRDefault="00073DEE">
      <w:pPr>
        <w:spacing w:after="11"/>
        <w:ind w:left="-5"/>
      </w:pPr>
      <w:r>
        <w:t xml:space="preserve">Nombre: Universidad San Francisco de Quito </w:t>
      </w:r>
    </w:p>
    <w:p w:rsidR="00CB3174" w:rsidRDefault="00073DEE">
      <w:pPr>
        <w:spacing w:after="11"/>
        <w:ind w:left="-5"/>
      </w:pPr>
      <w:r>
        <w:t xml:space="preserve">Banco: Banco Bolivariano </w:t>
      </w:r>
    </w:p>
    <w:p w:rsidR="00CB3174" w:rsidRDefault="00073DEE">
      <w:pPr>
        <w:spacing w:after="11"/>
        <w:ind w:left="-5"/>
      </w:pPr>
      <w:r>
        <w:t xml:space="preserve">Cuenta: Corriente </w:t>
      </w:r>
    </w:p>
    <w:p w:rsidR="00CB3174" w:rsidRDefault="00073DEE">
      <w:pPr>
        <w:spacing w:after="11"/>
        <w:ind w:left="-5"/>
      </w:pPr>
      <w:r>
        <w:t xml:space="preserve">Número de cuenta: 5075003350 </w:t>
      </w:r>
    </w:p>
    <w:p w:rsidR="00CB3174" w:rsidRDefault="00073DEE">
      <w:pPr>
        <w:spacing w:after="11"/>
        <w:ind w:left="-5"/>
      </w:pPr>
      <w:r>
        <w:t xml:space="preserve">Ruc: 1791836154001 </w:t>
      </w:r>
    </w:p>
    <w:p w:rsidR="00CB3174" w:rsidRDefault="00073DEE">
      <w:pPr>
        <w:spacing w:after="12" w:line="259" w:lineRule="auto"/>
        <w:ind w:left="-5"/>
        <w:jc w:val="left"/>
      </w:pPr>
      <w:r>
        <w:t xml:space="preserve">Correo: </w:t>
      </w:r>
      <w:r>
        <w:rPr>
          <w:color w:val="0000FF"/>
          <w:u w:val="single" w:color="0000FF"/>
        </w:rPr>
        <w:t>arbitrajeymediacion@usfq.edu.ec</w:t>
      </w:r>
      <w:r>
        <w:t xml:space="preserve"> </w:t>
      </w:r>
    </w:p>
    <w:p w:rsidR="00CB3174" w:rsidRDefault="00073DEE">
      <w:pPr>
        <w:spacing w:after="11"/>
        <w:ind w:left="-5"/>
      </w:pPr>
      <w:r>
        <w:t xml:space="preserve">Teléfono: 2971700 </w:t>
      </w:r>
    </w:p>
    <w:p w:rsidR="00CB3174" w:rsidRDefault="00073DEE">
      <w:pPr>
        <w:spacing w:after="11"/>
        <w:ind w:left="-5"/>
      </w:pPr>
      <w:r>
        <w:t xml:space="preserve">Si paga por depósito, </w:t>
      </w:r>
      <w:r>
        <w:t xml:space="preserve">agregar el código: UT1791836154001 </w:t>
      </w:r>
    </w:p>
    <w:p w:rsidR="00CB3174" w:rsidRDefault="00073DEE">
      <w:pPr>
        <w:spacing w:after="15" w:line="259" w:lineRule="auto"/>
        <w:ind w:left="0" w:firstLine="0"/>
        <w:jc w:val="left"/>
      </w:pPr>
      <w:r>
        <w:t xml:space="preserve"> </w:t>
      </w:r>
    </w:p>
    <w:p w:rsidR="00CB3174" w:rsidRDefault="00073DEE">
      <w:pPr>
        <w:spacing w:after="15" w:line="259" w:lineRule="auto"/>
        <w:ind w:left="0" w:firstLine="0"/>
        <w:jc w:val="left"/>
      </w:pPr>
      <w:r>
        <w:t xml:space="preserve"> </w:t>
      </w:r>
    </w:p>
    <w:p w:rsidR="00CB3174" w:rsidRDefault="00073DEE">
      <w:pPr>
        <w:numPr>
          <w:ilvl w:val="0"/>
          <w:numId w:val="4"/>
        </w:numPr>
        <w:spacing w:after="177" w:line="259" w:lineRule="auto"/>
        <w:ind w:hanging="360"/>
        <w:jc w:val="left"/>
      </w:pPr>
      <w:r>
        <w:rPr>
          <w:b/>
        </w:rPr>
        <w:t xml:space="preserve">Contacto </w:t>
      </w:r>
    </w:p>
    <w:p w:rsidR="00FA0F1D" w:rsidRDefault="00073DEE" w:rsidP="00FA0F1D">
      <w:pPr>
        <w:spacing w:after="12" w:line="259" w:lineRule="auto"/>
        <w:ind w:left="-5"/>
        <w:jc w:val="left"/>
      </w:pPr>
      <w:r>
        <w:rPr>
          <w:b/>
        </w:rPr>
        <w:t xml:space="preserve">Correos: </w:t>
      </w:r>
      <w:r>
        <w:t xml:space="preserve"> </w:t>
      </w:r>
      <w:r>
        <w:rPr>
          <w:color w:val="0000FF"/>
          <w:u w:val="single" w:color="0000FF"/>
        </w:rPr>
        <w:t>arbitrajeymediacion@usfq.edu.ec</w:t>
      </w:r>
      <w:r>
        <w:t xml:space="preserve"> </w:t>
      </w:r>
    </w:p>
    <w:p w:rsidR="00CB3174" w:rsidRPr="00FA0F1D" w:rsidRDefault="00FA0F1D" w:rsidP="00FA0F1D">
      <w:pPr>
        <w:spacing w:after="12" w:line="259" w:lineRule="auto"/>
        <w:ind w:left="-5"/>
        <w:jc w:val="left"/>
      </w:pPr>
      <w:r>
        <w:rPr>
          <w:b/>
        </w:rPr>
        <w:t xml:space="preserve">Teléfono: </w:t>
      </w:r>
      <w:r w:rsidRPr="00FA0F1D">
        <w:t xml:space="preserve">2971700 </w:t>
      </w:r>
      <w:proofErr w:type="spellStart"/>
      <w:r w:rsidRPr="00FA0F1D">
        <w:t>ext</w:t>
      </w:r>
      <w:proofErr w:type="spellEnd"/>
      <w:r w:rsidRPr="00FA0F1D">
        <w:t xml:space="preserve"> 2191</w:t>
      </w:r>
      <w:r>
        <w:rPr>
          <w:b/>
        </w:rPr>
        <w:t xml:space="preserve"> </w:t>
      </w:r>
    </w:p>
    <w:p w:rsidR="00CB3174" w:rsidRDefault="00073DEE">
      <w:pPr>
        <w:spacing w:after="12" w:line="259" w:lineRule="auto"/>
        <w:ind w:left="-5"/>
        <w:jc w:val="left"/>
      </w:pPr>
      <w:r>
        <w:rPr>
          <w:b/>
        </w:rPr>
        <w:t>Redes sociales:</w:t>
      </w:r>
      <w:hyperlink r:id="rId8">
        <w:r>
          <w:rPr>
            <w:rFonts w:ascii="Calibri" w:eastAsia="Calibri" w:hAnsi="Calibri" w:cs="Calibri"/>
            <w:color w:val="0000FF"/>
            <w:u w:val="single" w:color="0000FF"/>
          </w:rPr>
          <w:t xml:space="preserve"> </w:t>
        </w:r>
      </w:hyperlink>
      <w:hyperlink r:id="rId9">
        <w:r>
          <w:rPr>
            <w:color w:val="0000FF"/>
            <w:u w:val="single" w:color="0000FF"/>
          </w:rPr>
          <w:t>https://www.facebook.com/CentroArbitrajeyMediacionUSFQ</w:t>
        </w:r>
      </w:hyperlink>
      <w:hyperlink r:id="rId10">
        <w:r>
          <w:rPr>
            <w:rFonts w:ascii="Calibri" w:eastAsia="Calibri" w:hAnsi="Calibri" w:cs="Calibri"/>
          </w:rPr>
          <w:t xml:space="preserve"> </w:t>
        </w:r>
      </w:hyperlink>
    </w:p>
    <w:p w:rsidR="00CB3174" w:rsidRDefault="00073DEE">
      <w:pPr>
        <w:spacing w:after="15" w:line="259" w:lineRule="auto"/>
        <w:ind w:left="0" w:firstLine="0"/>
        <w:jc w:val="left"/>
      </w:pPr>
      <w:r>
        <w:rPr>
          <w:b/>
        </w:rPr>
        <w:t xml:space="preserve"> </w:t>
      </w:r>
    </w:p>
    <w:p w:rsidR="00CB3174" w:rsidRDefault="00073DEE">
      <w:pPr>
        <w:spacing w:after="15" w:line="259" w:lineRule="auto"/>
        <w:ind w:left="5401" w:firstLine="0"/>
        <w:jc w:val="left"/>
      </w:pPr>
      <w:r>
        <w:rPr>
          <w:b/>
        </w:rPr>
        <w:t xml:space="preserve"> </w:t>
      </w:r>
    </w:p>
    <w:p w:rsidR="00CB3174" w:rsidRDefault="00073DEE">
      <w:pPr>
        <w:spacing w:after="15" w:line="259" w:lineRule="auto"/>
        <w:ind w:left="5401" w:firstLine="0"/>
        <w:jc w:val="left"/>
      </w:pPr>
      <w:r>
        <w:rPr>
          <w:b/>
        </w:rPr>
        <w:t xml:space="preserve"> </w:t>
      </w:r>
    </w:p>
    <w:p w:rsidR="00CB3174" w:rsidRDefault="00073DEE">
      <w:pPr>
        <w:spacing w:after="44" w:line="259" w:lineRule="auto"/>
        <w:ind w:left="0" w:right="4285" w:firstLine="0"/>
        <w:jc w:val="right"/>
      </w:pPr>
      <w:r>
        <w:rPr>
          <w:b/>
        </w:rPr>
        <w:t xml:space="preserve">¡Estamos a las órdenes! </w:t>
      </w:r>
    </w:p>
    <w:p w:rsidR="00CB3174" w:rsidRDefault="00073DEE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  <w:bookmarkStart w:id="0" w:name="_GoBack"/>
      <w:bookmarkEnd w:id="0"/>
    </w:p>
    <w:sectPr w:rsidR="00CB31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07" w:right="715" w:bottom="1250" w:left="720" w:header="720" w:footer="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DEE" w:rsidRDefault="00073DEE">
      <w:pPr>
        <w:spacing w:after="0" w:line="240" w:lineRule="auto"/>
      </w:pPr>
      <w:r>
        <w:separator/>
      </w:r>
    </w:p>
  </w:endnote>
  <w:endnote w:type="continuationSeparator" w:id="0">
    <w:p w:rsidR="00073DEE" w:rsidRDefault="0007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174" w:rsidRDefault="00073DEE">
    <w:pPr>
      <w:spacing w:after="0" w:line="259" w:lineRule="auto"/>
      <w:ind w:left="0" w:right="-46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6724650</wp:posOffset>
          </wp:positionH>
          <wp:positionV relativeFrom="page">
            <wp:posOffset>9262106</wp:posOffset>
          </wp:positionV>
          <wp:extent cx="584200" cy="696037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200" cy="696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174" w:rsidRDefault="00073DEE">
    <w:pPr>
      <w:spacing w:after="0" w:line="259" w:lineRule="auto"/>
      <w:ind w:left="0" w:right="-46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6724650</wp:posOffset>
          </wp:positionH>
          <wp:positionV relativeFrom="page">
            <wp:posOffset>9262106</wp:posOffset>
          </wp:positionV>
          <wp:extent cx="584200" cy="696037"/>
          <wp:effectExtent l="0" t="0" r="0" b="0"/>
          <wp:wrapSquare wrapText="bothSides"/>
          <wp:docPr id="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200" cy="696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174" w:rsidRDefault="00073DEE">
    <w:pPr>
      <w:spacing w:after="0" w:line="259" w:lineRule="auto"/>
      <w:ind w:left="0" w:right="-46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6724650</wp:posOffset>
          </wp:positionH>
          <wp:positionV relativeFrom="page">
            <wp:posOffset>9262106</wp:posOffset>
          </wp:positionV>
          <wp:extent cx="584200" cy="696037"/>
          <wp:effectExtent l="0" t="0" r="0" b="0"/>
          <wp:wrapSquare wrapText="bothSides"/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200" cy="696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DEE" w:rsidRDefault="00073DEE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073DEE" w:rsidRDefault="00073DEE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:rsidR="00CB3174" w:rsidRDefault="00073DEE">
      <w:pPr>
        <w:pStyle w:val="footnotedescription"/>
      </w:pPr>
      <w:r>
        <w:rPr>
          <w:rStyle w:val="footnotemark"/>
        </w:rPr>
        <w:footnoteRef/>
      </w:r>
      <w:r>
        <w:t xml:space="preserve"> Resolución 026-2018 del 20 de febrero de 2018, publicada en el Suplemento 209 del Registro Oficial del 27 de marzo de 2018: </w:t>
      </w:r>
    </w:p>
    <w:p w:rsidR="00CB3174" w:rsidRDefault="00073DEE">
      <w:pPr>
        <w:pStyle w:val="footnotedescription"/>
      </w:pPr>
      <w:hyperlink r:id="rId1">
        <w:r>
          <w:rPr>
            <w:color w:val="0000FF"/>
            <w:u w:val="single" w:color="0000FF"/>
          </w:rPr>
          <w:t>http://www.funcionjudicial.gob.ec/index.php/es/registro</w:t>
        </w:r>
      </w:hyperlink>
      <w:hyperlink r:id="rId2">
        <w:r>
          <w:rPr>
            <w:color w:val="0000FF"/>
            <w:u w:val="single" w:color="0000FF"/>
          </w:rPr>
          <w:t>-</w:t>
        </w:r>
      </w:hyperlink>
      <w:hyperlink r:id="rId3">
        <w:r>
          <w:rPr>
            <w:color w:val="0000FF"/>
            <w:u w:val="single" w:color="0000FF"/>
          </w:rPr>
          <w:t>y</w:t>
        </w:r>
      </w:hyperlink>
      <w:hyperlink r:id="rId4">
        <w:r>
          <w:rPr>
            <w:color w:val="0000FF"/>
            <w:u w:val="single" w:color="0000FF"/>
          </w:rPr>
          <w:t>-</w:t>
        </w:r>
      </w:hyperlink>
      <w:hyperlink r:id="rId5">
        <w:r>
          <w:rPr>
            <w:color w:val="0000FF"/>
            <w:u w:val="single" w:color="0000FF"/>
          </w:rPr>
          <w:t>centro</w:t>
        </w:r>
      </w:hyperlink>
      <w:hyperlink r:id="rId6">
        <w:r>
          <w:rPr>
            <w:color w:val="0000FF"/>
            <w:u w:val="single" w:color="0000FF"/>
          </w:rPr>
          <w:t>-</w:t>
        </w:r>
      </w:hyperlink>
      <w:hyperlink r:id="rId7">
        <w:r>
          <w:rPr>
            <w:color w:val="0000FF"/>
            <w:u w:val="single" w:color="0000FF"/>
          </w:rPr>
          <w:t>de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mediacion.html</w:t>
        </w:r>
      </w:hyperlink>
      <w:hyperlink r:id="rId10">
        <w:r>
          <w:t xml:space="preserve"> </w:t>
        </w:r>
      </w:hyperlink>
    </w:p>
    <w:p w:rsidR="00CB3174" w:rsidRDefault="00073DEE">
      <w:pPr>
        <w:pStyle w:val="footnotedescription"/>
      </w:pPr>
      <w:r>
        <w:t xml:space="preserve"> </w:t>
      </w:r>
    </w:p>
  </w:footnote>
  <w:footnote w:id="2">
    <w:p w:rsidR="00CB3174" w:rsidRDefault="00073DEE">
      <w:pPr>
        <w:pStyle w:val="footnotedescription"/>
        <w:spacing w:line="276" w:lineRule="auto"/>
      </w:pPr>
      <w:r>
        <w:rPr>
          <w:rStyle w:val="footnotemark"/>
        </w:rPr>
        <w:footnoteRef/>
      </w:r>
      <w:r>
        <w:t xml:space="preserve"> Las observaciones de 5 casos es el requisito general que solicita el Consejo de la Judicatura. Sin embargo, cada Centro podrá agregar requisitos espec</w:t>
      </w:r>
      <w:r>
        <w:t xml:space="preserve">iales de acuerdo con su reglamento interno. No hay ningún tipo de caducidad para realizar las prácticas. </w:t>
      </w:r>
    </w:p>
    <w:p w:rsidR="00CB3174" w:rsidRDefault="00073DEE">
      <w:pPr>
        <w:pStyle w:val="footnotedescription"/>
      </w:pPr>
      <w:r>
        <w:t xml:space="preserve">  </w:t>
      </w:r>
      <w:r>
        <w:rPr>
          <w:rFonts w:ascii="Calibri" w:eastAsia="Calibri" w:hAnsi="Calibri" w:cs="Calibri"/>
        </w:rPr>
        <w:t xml:space="preserve"> </w:t>
      </w:r>
    </w:p>
  </w:footnote>
  <w:footnote w:id="3">
    <w:p w:rsidR="00CB3174" w:rsidRDefault="00073DEE">
      <w:pPr>
        <w:pStyle w:val="footnotedescription"/>
        <w:spacing w:line="242" w:lineRule="auto"/>
        <w:ind w:right="5"/>
        <w:jc w:val="both"/>
      </w:pPr>
      <w:r>
        <w:rPr>
          <w:rStyle w:val="footnotemark"/>
        </w:rPr>
        <w:footnoteRef/>
      </w:r>
      <w:r>
        <w:t xml:space="preserve"> En caso de que un aspirante a mediador haya obtenido un título de cuarto nivel en mediación o métodos alternativos de solución de conflictos, se</w:t>
      </w:r>
      <w:r>
        <w:t xml:space="preserve"> deberá adjuntar la correspondiente malla curricular, la cual deberá cumplir los criterios mínimos de la carga horaria establecidos en el artículo 23.</w:t>
      </w:r>
      <w:r>
        <w:rPr>
          <w:sz w:val="20"/>
        </w:rPr>
        <w:t xml:space="preserve"> </w:t>
      </w:r>
    </w:p>
  </w:footnote>
  <w:footnote w:id="4">
    <w:p w:rsidR="00CB3174" w:rsidRDefault="00073DEE">
      <w:pPr>
        <w:pStyle w:val="footnotedescription"/>
        <w:spacing w:line="256" w:lineRule="auto"/>
        <w:jc w:val="both"/>
      </w:pPr>
      <w:r>
        <w:rPr>
          <w:rStyle w:val="footnotemark"/>
        </w:rPr>
        <w:footnoteRef/>
      </w:r>
      <w:r>
        <w:t xml:space="preserve"> Ante la emergencia sanitaria presente al momento de redactar este documento, el Centro de Mediación de</w:t>
      </w:r>
      <w:r>
        <w:t xml:space="preserve"> la </w:t>
      </w:r>
      <w:proofErr w:type="spellStart"/>
      <w:r>
        <w:t>Usfq</w:t>
      </w:r>
      <w:proofErr w:type="spellEnd"/>
      <w:r>
        <w:t xml:space="preserve"> se reserva el derecho de ofrecer únicamente la modalidad virtual hasta nuevo aviso. </w:t>
      </w:r>
    </w:p>
    <w:p w:rsidR="00CB3174" w:rsidRDefault="00073DEE">
      <w:pPr>
        <w:pStyle w:val="footnotedescription"/>
      </w:pPr>
      <w:r>
        <w:t xml:space="preserve"> </w:t>
      </w:r>
    </w:p>
  </w:footnote>
  <w:footnote w:id="5">
    <w:p w:rsidR="00CB3174" w:rsidRDefault="00073DEE">
      <w:pPr>
        <w:pStyle w:val="footnotedescription"/>
      </w:pPr>
      <w:r>
        <w:rPr>
          <w:rStyle w:val="footnotemark"/>
        </w:rPr>
        <w:footnoteRef/>
      </w:r>
      <w:r>
        <w:t xml:space="preserve"> Artículo 50, Ley de Arbitraje y Mediación. Registro Oficial 417 de 14 de diciembre de 2006:  </w:t>
      </w:r>
    </w:p>
    <w:p w:rsidR="00CB3174" w:rsidRDefault="00073DEE">
      <w:pPr>
        <w:pStyle w:val="footnotedescription"/>
      </w:pPr>
      <w:r>
        <w:t>“La</w:t>
      </w:r>
      <w:r>
        <w:t xml:space="preserve"> mediación tiene carácter confidencial. Los que en ella parti</w:t>
      </w:r>
      <w:r>
        <w:t xml:space="preserve">cipen deberán mantener la debida reserva </w:t>
      </w:r>
      <w:r>
        <w:t>[…]”.</w:t>
      </w:r>
      <w:r>
        <w:t xml:space="preserve"> </w:t>
      </w:r>
    </w:p>
    <w:p w:rsidR="00CB3174" w:rsidRDefault="00073DEE">
      <w:pPr>
        <w:pStyle w:val="footnotedescription"/>
      </w:pPr>
      <w:r>
        <w:rPr>
          <w:rFonts w:ascii="Calibri" w:eastAsia="Calibri" w:hAnsi="Calibri" w:cs="Calibri"/>
        </w:rPr>
        <w:t xml:space="preserve">  </w:t>
      </w:r>
      <w:r>
        <w:t xml:space="preserve"> </w:t>
      </w:r>
    </w:p>
  </w:footnote>
  <w:footnote w:id="6">
    <w:p w:rsidR="00CB3174" w:rsidRDefault="00073DEE">
      <w:pPr>
        <w:pStyle w:val="footnotedescription"/>
        <w:spacing w:line="279" w:lineRule="auto"/>
        <w:jc w:val="both"/>
      </w:pPr>
      <w:r>
        <w:rPr>
          <w:rStyle w:val="footnotemark"/>
        </w:rPr>
        <w:footnoteRef/>
      </w:r>
      <w:r>
        <w:t xml:space="preserve"> Realizar las observaciones en el Centro de Mediación de la </w:t>
      </w:r>
      <w:proofErr w:type="spellStart"/>
      <w:r>
        <w:t>Usfq</w:t>
      </w:r>
      <w:proofErr w:type="spellEnd"/>
      <w:r>
        <w:t xml:space="preserve"> no garantiza bajo ningún concepto su registro como mediador en este Centro. </w:t>
      </w:r>
    </w:p>
    <w:p w:rsidR="00CB3174" w:rsidRDefault="00073DEE">
      <w:pPr>
        <w:pStyle w:val="footnotedescription"/>
      </w:pPr>
      <w:r>
        <w:t xml:space="preserve"> </w:t>
      </w:r>
    </w:p>
  </w:footnote>
  <w:footnote w:id="7">
    <w:p w:rsidR="00CB3174" w:rsidRDefault="00073DEE">
      <w:pPr>
        <w:pStyle w:val="footnotedescription"/>
      </w:pPr>
      <w:r>
        <w:rPr>
          <w:rStyle w:val="footnotemark"/>
        </w:rPr>
        <w:footnoteRef/>
      </w:r>
      <w:r>
        <w:t xml:space="preserve"> A menos que se mencione expresamente que no es necesario.</w:t>
      </w:r>
      <w:r>
        <w:rPr>
          <w:rFonts w:ascii="Calibri" w:eastAsia="Calibri" w:hAnsi="Calibri" w:cs="Calibri"/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174" w:rsidRDefault="00073DEE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286000" cy="72390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174" w:rsidRDefault="00073DEE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286000" cy="723900"/>
          <wp:effectExtent l="0" t="0" r="0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174" w:rsidRDefault="00073DEE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286000" cy="723900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D1B8D"/>
    <w:multiLevelType w:val="hybridMultilevel"/>
    <w:tmpl w:val="290C1F54"/>
    <w:lvl w:ilvl="0" w:tplc="4ED805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D66272A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82E6888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ECECA0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9E6E2B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F6AE3F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16A40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44AB7E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36CE8D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163F15"/>
    <w:multiLevelType w:val="hybridMultilevel"/>
    <w:tmpl w:val="80607B56"/>
    <w:lvl w:ilvl="0" w:tplc="25464A38">
      <w:start w:val="2"/>
      <w:numFmt w:val="decimal"/>
      <w:lvlText w:val="%1)"/>
      <w:lvlJc w:val="left"/>
      <w:pPr>
        <w:ind w:left="70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376FA66">
      <w:start w:val="1"/>
      <w:numFmt w:val="upperLetter"/>
      <w:lvlText w:val="%2)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6FC4A2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B98981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20A86F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FCAF53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09475F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986835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A7C21C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9D3D2D"/>
    <w:multiLevelType w:val="hybridMultilevel"/>
    <w:tmpl w:val="5662554A"/>
    <w:lvl w:ilvl="0" w:tplc="586ED19E">
      <w:start w:val="1"/>
      <w:numFmt w:val="upperLetter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7F0E346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C6A46EE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FB6D47E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62E9DB4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BC8C334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16C31BE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B305368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F4B5F4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1B63E1"/>
    <w:multiLevelType w:val="hybridMultilevel"/>
    <w:tmpl w:val="0778FE26"/>
    <w:lvl w:ilvl="0" w:tplc="9F201572">
      <w:start w:val="7"/>
      <w:numFmt w:val="decimal"/>
      <w:lvlText w:val="%1)"/>
      <w:lvlJc w:val="left"/>
      <w:pPr>
        <w:ind w:left="70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9CCA346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40E964C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480D0A4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0ECC7DC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D5415E8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BF456C4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1FC1D9E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E846C9C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74"/>
    <w:rsid w:val="00073DEE"/>
    <w:rsid w:val="00CB3174"/>
    <w:rsid w:val="00FA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2164"/>
  <w15:docId w15:val="{00C93A3C-712C-49F3-A6BA-A67BFABD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9" w:line="264" w:lineRule="auto"/>
      <w:ind w:left="10" w:hanging="10"/>
      <w:jc w:val="both"/>
    </w:pPr>
    <w:rPr>
      <w:rFonts w:ascii="Tahoma" w:eastAsia="Tahoma" w:hAnsi="Tahoma" w:cs="Tahoma"/>
      <w:color w:val="000000"/>
      <w:sz w:val="1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0F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Tahoma" w:eastAsia="Tahoma" w:hAnsi="Tahoma" w:cs="Tahoma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ahoma" w:eastAsia="Tahoma" w:hAnsi="Tahoma" w:cs="Tahoma"/>
      <w:color w:val="000000"/>
      <w:sz w:val="18"/>
    </w:rPr>
  </w:style>
  <w:style w:type="character" w:customStyle="1" w:styleId="footnotemark">
    <w:name w:val="footnote mark"/>
    <w:hidden/>
    <w:rPr>
      <w:rFonts w:ascii="Tahoma" w:eastAsia="Tahoma" w:hAnsi="Tahoma" w:cs="Tahoma"/>
      <w:color w:val="000000"/>
      <w:sz w:val="18"/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FA0F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FA0F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0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6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entroArbitrajeyMediacionUSFQ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bitrajeymediacion@usfq.edu.ec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CentroArbitrajeyMediacionUSF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entroArbitrajeyMediacionUSFQ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cionjudicial.gob.ec/index.php/es/registro-y-centro-de-mediacion.html" TargetMode="External"/><Relationship Id="rId3" Type="http://schemas.openxmlformats.org/officeDocument/2006/relationships/hyperlink" Target="http://www.funcionjudicial.gob.ec/index.php/es/registro-y-centro-de-mediacion.html" TargetMode="External"/><Relationship Id="rId7" Type="http://schemas.openxmlformats.org/officeDocument/2006/relationships/hyperlink" Target="http://www.funcionjudicial.gob.ec/index.php/es/registro-y-centro-de-mediacion.html" TargetMode="External"/><Relationship Id="rId2" Type="http://schemas.openxmlformats.org/officeDocument/2006/relationships/hyperlink" Target="http://www.funcionjudicial.gob.ec/index.php/es/registro-y-centro-de-mediacion.html" TargetMode="External"/><Relationship Id="rId1" Type="http://schemas.openxmlformats.org/officeDocument/2006/relationships/hyperlink" Target="http://www.funcionjudicial.gob.ec/index.php/es/registro-y-centro-de-mediacion.html" TargetMode="External"/><Relationship Id="rId6" Type="http://schemas.openxmlformats.org/officeDocument/2006/relationships/hyperlink" Target="http://www.funcionjudicial.gob.ec/index.php/es/registro-y-centro-de-mediacion.html" TargetMode="External"/><Relationship Id="rId5" Type="http://schemas.openxmlformats.org/officeDocument/2006/relationships/hyperlink" Target="http://www.funcionjudicial.gob.ec/index.php/es/registro-y-centro-de-mediacion.html" TargetMode="External"/><Relationship Id="rId10" Type="http://schemas.openxmlformats.org/officeDocument/2006/relationships/hyperlink" Target="http://www.funcionjudicial.gob.ec/index.php/es/registro-y-centro-de-mediacion.html" TargetMode="External"/><Relationship Id="rId4" Type="http://schemas.openxmlformats.org/officeDocument/2006/relationships/hyperlink" Target="http://www.funcionjudicial.gob.ec/index.php/es/registro-y-centro-de-mediacion.html" TargetMode="External"/><Relationship Id="rId9" Type="http://schemas.openxmlformats.org/officeDocument/2006/relationships/hyperlink" Target="http://www.funcionjudicial.gob.ec/index.php/es/registro-y-centro-de-mediacio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Espinel Reyna</dc:creator>
  <cp:keywords/>
  <cp:lastModifiedBy>Paula Godoy Vizcaíno</cp:lastModifiedBy>
  <cp:revision>2</cp:revision>
  <dcterms:created xsi:type="dcterms:W3CDTF">2026-04-13T13:32:00Z</dcterms:created>
  <dcterms:modified xsi:type="dcterms:W3CDTF">2026-04-13T13:32:00Z</dcterms:modified>
</cp:coreProperties>
</file>